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Sri Sathya Sai Palliative Care Center - Puttaparthi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Homecare -  Symptom Assessment and Treatment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Patient Name/Age/Gender:</w:t>
        <w:tab/>
        <w:tab/>
        <w:tab/>
        <w:t xml:space="preserve">Patient ID:</w:t>
        <w:tab/>
        <w:tab/>
        <w:t xml:space="preserve">Diagnosis: </w:t>
        <w:tab/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</w:t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7">
      <w:pPr>
        <w:spacing w:lin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1698.75"/>
        <w:gridCol w:w="1698.75"/>
        <w:gridCol w:w="1698.75"/>
        <w:gridCol w:w="1698.75"/>
        <w:tblGridChange w:id="0">
          <w:tblGrid>
            <w:gridCol w:w="2295"/>
            <w:gridCol w:w="1698.75"/>
            <w:gridCol w:w="1698.75"/>
            <w:gridCol w:w="1698.75"/>
            <w:gridCol w:w="1698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-&gt;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Oral Exam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Nausea/Vomitting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Constipation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Bladder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Sleep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Edema(Site)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Notes and Treatment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